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b w:val="1"/>
          <w:vertAlign w:val="baseline"/>
          <w:rtl w:val="0"/>
        </w:rPr>
        <w:t xml:space="preserve">Tim Hughes - God in my Living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Capo 4 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           G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manā dzīvē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C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manā elpā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vertAlign w:val="baseline"/>
          <w:rtl w:val="0"/>
        </w:rPr>
        <w:t xml:space="preserve">       Em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manā mierā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             D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manā miegā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manā ceļā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manā darbā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manās domās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manos vārdos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   C          D          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Kļūsti tu man viss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    Em       D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Kļūsti tu man viss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    C           D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Kļūsti tu man viss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   G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Kļūsti tu man viss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ab/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manās ilgās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manos sapņos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manās acīs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manās gaidās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manos smieklos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manās bēdās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manās sāpēs 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Dievs manā priek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C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Kristus manī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Kristus manī 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Em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Kristus manī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ab/>
        <w:tab/>
        <w:t xml:space="preserve">C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Slavas cerība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D                     Em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Kļūsti tu man viss</w:t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Tim Hughes Everything  - Viss.docx</dc:title>
</cp:coreProperties>
</file>